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西北内陆区二级分区面积统计数据集（1979-2017年）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set of secondary zoning area of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空中水、微咸水、矿井疏干水和再生水等作为多水源（非常规水资源）具体类别，围绕其开发利用关键技术试验与示范所面临的关键科学问题和关键技术难题，开展西北内陆区空中水汽资源化潜力评估、空中与地表水资源联合利用模式及关键技术、微咸水和矿井疏干水资源利用技术和面向生态的再生水资源利用技术等研究，评估西北内陆区空中水资源开发与利用潜力与调控能力、打通空中水资源高效利用基础理论-关键技术-示范应用-效果检验全链条，研发微咸水和矿井疏干水开发利用技术，以及再生水生态回用模式和优化配置等，并建立示范区开展多水源开发利用技术验证与示范，为构建西北内陆区非常规水资源开发体系提供核心技术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  源数据为来自于《西北内陆区水资源安全保障技术集成与应用》项目的分区shp文件。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  基于《西北内陆区水资源安全保障技术集成与应用》项目的分区shp文件，采用python计算各子区域面积。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二级分区面积统计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西北内陆区二级分区面积统计数据集（1979-2017年）. 国家冰川冻土沙漠科学数据中心(http://www.ncdc.ac.cn), 2022. https://cstr.cn/CSTR:11738.11.ncdc.XBSAQ.db2293.2022.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