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2023年塔里木河国家级重点预防区水土流失地块数据集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erosion plots in national key prevention area of Tarim River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10.12072/ncdc.hhstbc.db6737.2025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11738.11.NCDC.HHSTBC.DB6737.2025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2023年塔里木河国家级重点预防区水土流失地块数据集包括新疆维吾尔自治区阿克苏市、乌什县、阿瓦提县、泽普县、莎车县、叶城县、麦盖提县、巴楚县、和田市、和田县、墨玉县、皮山县、洛浦县、策勒县、于田县、民丰县、阿合奇县、阿拉尔市2023年年度人为水土流失地块情况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塔里木河国家级重点预防区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不同程度水土流失面积，不同程度的占人为水土流失地块面积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里木河国家级重点预防区，新疆维吾尔自治区，阿克苏市，乌什县，阿瓦提县，泽普县，莎车县，叶城县，麦盖提县，巴楚县，和田市，和田县，墨玉县，皮山县，洛浦县，策勒县，于田县，民丰县，阿合奇县，阿拉尔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2023年塔里木河国家级重点预防区水土流失地块数据集. 国家冰川冻土沙漠科学数据中心(http://www.ncdc.ac.cn), 2025. https://cstr.cn/CSTR:11738.11.NCDC.HHSTBC.DB6737.2025.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