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塔里木河干流未来各季节降水量数据集（2021-2080年）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future seasonal precipitation in the main stream of Tarim River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10.12072/ncdc.XBSAQ.db2241.2022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11738.11.ncdc.XBSAQ.db2241.2022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第五次耦合模式比较计划（CMIP5）中的新一代典型浓度排放路径情景（RCP4.5）月值格点数据，将空间分辨率统一为0.75°×0.75°。采用python统计分析库裁取研究区域内数据点，做区域平均得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塔里木河干流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塔里木河干流, 降水量,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塔里木河干流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41.53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88.57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塔里木河干流未来各季节降水量数据集（2021-2080年）. 国家冰川冻土沙漠科学数据中心(http://www.ncdc.ac.cn), 2022. https://cstr.cn/CSTR:11738.11.ncdc.XBSAQ.db2241.2022.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