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2015-2019年黄河流域省市极强度水蚀分布数据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the Distribution of Extremely Intense Water Erosion in Provinces and Cities along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11738.11.ncdc.YRiver.db2488.2022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  1.本数据集收录了黄河流域地区部分市县的水土流失、水力侵蚀和风力侵蚀数据。   2.数据集命名：可找到的精确到市级数据.xlsx。   3.属性说明：（1）序号：侵蚀类型（2）省：黄河流域流经省级地区（3）市：黄河流域流经市级地区（4）县：黄河流域流经区县级地区（5）属性：水土流失程度（6）数据单位km2。   4.三类监测指标：省份、水力侵蚀总面积、强烈面积、强烈占比。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  主要数据来源于2015-2019年水土保持公报。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  通过2015-2019年水土保持公报，人工采集相关数据成表格形式信息。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水力侵蚀, 强烈面积, 强烈占比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2015-2019年黄河流域省市极强度水蚀分布数据. 国家冰川冻土沙漠科学数据中心(http://www.ncdc.ac.cn), 2021. https://cstr.cn/CSTR:11738.11.ncdc.YRiver.db2488.2022.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