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塔里木河干流未来各季节可降水量数据集（2021-2080年）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future seasonal precipitation in the main stream of Tarim River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10.12072/ncdc.XBSAQ.db2259.2022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11738.11.ncdc.XBSAQ.db2259.2022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  源数据为第五次耦合模式比较计划（CMIP5）中的新一代典型浓度排放路径情景（RCP4.5）的月值格点数据，下载地址为：https://esgf-node.llnl.gov/search/cmip5/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CMIP5三维比湿数据，将数据分辨率统一为空间分辨率为0.75°×0.75°，利用整层积分公式计算得到可降水量矩阵，采用python统计分析库裁取研究区域内数据点，做区域平均得可降水数据。之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塔里木河干流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塔里木河干流, 可降水量, 未来情景（2021年-2080年）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塔里木河干流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47.53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80.75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88.57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塔里木河干流未来各季节可降水量数据集（2021-2080年）. 国家冰川冻土沙漠科学数据中心(http://www.ncdc.ac.cn), 2022. https://cstr.cn/CSTR:11738.11.ncdc.XBSAQ.db2259.2022.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