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滁河、巢湖流域典型蓄滞洪区土地利用类型变化分析成果数据集（1985-2020年）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results of analysis of changes in land use types in typical flood storage areas in the Chu River and Chaohu Lake Basin (1985-2020)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1980年以来，长江中下游流域下垫面条件发生大幅度变化，不同时期土地结构呈现出较大的差异。本数据集通过分析获取自中国科学院空天信息创新研究院解译的1985-2020长江中下游流域主要蓄滞洪区30m、1m地表覆盖基础数据(数据格式为.shp文件)。   针对滁河、巢湖流域荒草二三圩、蒿子圩和十八联圩的1985-2020年土地利用类型变化进行分析，明确了其区域建筑、林地、水体、水田、耕地、草地的变化趋势和程度（输出格式为.xlsx）。获取了典型时期土地利用的信息，分析了蓄滞洪区土地利用变化的数量和变幅特征。有助于识别蓄滞洪区储蓄流域超额洪水的不利影响，为更好地运营和管理蓄滞洪区提供科学依据和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  基础数据获取自中国科学院空天信息创新研究院解译的1985-2020长江中下游流域主要蓄滞洪区30m、1m地表覆盖结果。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影像进行重采样处理以改正输出影像的像元偏差，以此来建立新的图像矩阵，本节通过双线性内插法对图像重新采样，利用ArcGIS栅格处理中的波段合成功能，选取2、3、4波段进行真彩色波段合成，再将多光谱图像8波段全色图像进行融合处理，使其具有较高分辨率。   利用ArcGIS对多幅影像进行镶嵌，保持色调一致。并采用了回归分析法进行校正处理来消除大气引起的辐射值。基于最后得到的影像，新建线要素描绘所研究的蓄滞洪区的边界，建立蓄滞洪区的矢量边界文件。图像裁剪的作用是保留所研究区域的影像，基于ArcGIS“按掩膜提取”功能，输入研究区矢量面文件和土地利用栅格文件，得到所研究蓄滞洪区土地利用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比30m和1m分辨率下土地利用解译成果，发现高分辨率卫星遥感数据具有明显优势。1m分辨率下荒草二、三圩林地分布范围扩大，建筑更清晰，蒿子圩林地和水体、水田总面积变化较大，且更接近实际状况，十八联圩虽30m分辨率能识别大部分地物类型，但1m分辨率能更好地识别较小的地物如居民住宅、道路、水利工程等。总体而言，两种分辨率分析历史土地利用结构及变化偏差较小，结果可靠，两者结合可进一步提升了下垫面地理实体信息识别的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长江下游典型蓄滞洪区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30m,1m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蓄滞洪区, 土地利用类型, 重分类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1985 1990 1995 2000 2005 2010 2015 2020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滁河,  巢湖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陈兆懿. 滁河、巢湖流域典型蓄滞洪区土地利用类型变化分析成果数据集（1985-2020年）. 国家冰川冻土沙漠科学数据中心(http://www.ncdc.ac.cn), 2025. https://cstr.cn/CSTR:11738.11.NCDC.NHRI.DB6798.2025.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