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data sets can be added in the desert area of Tarim Basin in future seasons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10.12072/ncdc.XBSAQ.db2261.2022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11738.11.ncdc.XBSAQ.db2261.2022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cmip5 specific humidity data, the spatial resolution is unified to 0.75 ° × 0.75 °, the precipitable water matrix is calculated by using the integral formula of the whole layer.  &amp; emsp; (2) Based on cmip5 monthly precipitation grid data, the spatial resolution is unified to 0.75 ° × 0.75 °, calculate the ratio matrix of precipitation and available precipitation in each grid point, that is, the precipitation conversion rate matrix. Use Python statistical analysis library to cut the data points in the study area and make the regional average to obtain the available precipitation conversion rate data.  &amp; emsp; (3) Based on cmip5 specific humidity and wind speed data, the spatial resolution is unified to 0.75 ° × 0.75 °, the water vapor flux divergence matrix is calculated, and the air water resource enrichment area is identified.  &amp; emsp; (4) Considering that artificial rainfall enhancement measures can increase rainfall efficiency, the rainfall matrix can be obtained by implementing the rainfall enhancement operation theory in the air water resources enrichment area.  &amp; emsp; (5) Based on cmip5 runoff data, the spatial resolution is unified to 0.75 ° × 0.75 °, calculate the runoff conversion coefficient of each grid point to obtain the theoretically increased runoff matrix.  &amp; emsp; (6)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place:Desert area of Tarim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Theme:Desert area of Tarim Basin, runoff can be increased,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Place:Desert area of Tarim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Runoff data sets can be added in the desert area of Tarim Basin in future seasons (2021-2080). National Cryosphere Desert Data Center(http://www.ncdc.ac.cn), 2022. https://cstr.cn/CSTR:11738.11.ncdc.XBSAQ.db2261.2022.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