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2015-2019年黄河流域耕地面积统计数据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on Cultivated Land Area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黄河流域各地区(以县区级单位，共103个)耕地面积数据。数据主要来源于黄河流域各地区年鉴及省级统计年鉴。1、数据集命名黄河流域耕地面积统计.xlsx。2、属性信息：省：黄河流域流经省级地区。市：黄河流域流经市级地区。县(区)：黄河流域流经县(区)级地区。耕地：黄河流域地区耕地占地面积。数据集中每个工作表分别为2015～2019年黄河流域各地区耕地面积数据。   部分县区统计了实际耕地保有量、实际净耕地面积、年末常用耕地面积、农作物总播种面积、永久基本农田划定的耕地面积。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  人工收集整理并摘录。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耕地保有量, 年末常用耕地面积, 年末实有耕地面积, 实际净耕地面积, 实际耕地保有量, 基本农田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河南省,  山西省,  山东,  青海省,  四川,  甘肃省,  宁夏,  内蒙古,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2015-2019年黄河流域耕地面积统计数据. 国家冰川冻土沙漠科学数据中心(http://www.ncdc.ac.cn), 2021. https://cstr.cn/CSTR:11738.11.NCDC.YRIVER.2021.22.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