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青海省木里矿区聚乎更7号井植物丰富度数据集（2025年）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Plant richness dataset of Juhugeng No. 7 Well in Muli Kuangqu, Qinghai Province 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10.12072/ncdc.db7664.2026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11738.11.ncdc.db7664.2026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2025年7月与8月在试验田内开展的生物多样性样方调查数据，涵盖12个标准样方的植被群落结构特征。调查通过实地布设1m×1m的标准样方，对样方内所有维管植物的种类及个体数量进行系统记录，并计算了多样性指标，包括物种丰富度（S）、Shannon-Wiener指数（H′）、Simpson指数（D）和Pielou均匀度指数（J）。该数据集既包含原始观测数据（物种名录及数量），也包括经过统计加工的群落多样性指数结果。通过对比不同处理样方与对照样方的数据，可以揭示人工干预、管理措施或环境差异对群落物种组成与生态系统稳定性的影响。该数据集适用于生态学研究与恢复生态评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  样方设置：每块试验田均设置1个1m×1m的标准样方，共计12个样方，编号从处理A1T0P2至对照CK。   调查对象：样方内的所有维管植物，调查时逐一识别物种并统计其个体数。   采集方式：调查人员现场记录植物名录及数量，并结合群落学方法进行指标统计。   数据结构：包含物种组成数据（物种种类、数量、优势种）、群落水平数据（物种数S、总个体数N）、多样性指数数据（H′、D、J）及多样性水平分类结果。   数据价值：该数据源直接反映了试验地块的群落恢复状况与物种分布格局，为分析生态系统稳定性、群落抗干扰能力及恢复潜力提供了可靠依据。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  原始记录：现场逐样方记录植物种类与数量；   指标计算：基于公式计算 Shannon-Wiener 指数 (H′)、Simpson 指数 (D)、均匀度指数 (J)，并对样方群落多样性水平进行分类；   统计整理：形成物种数、个体数、多样性指数的汇总表，并通过分类“高、中等、较低”表征样方多样性水平。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  完整性：每块试验田均设置标准样方，调查覆盖完整；   一致性：两期（7月与8月）数据采集方法保持一致，保证可比性；   准确性：数据经由人工实地记录，采用标准化的多样性指数计算方法，误差主要来源于个体数量人工计数。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2025/07/01-2026/08/31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木里煤田七号坑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*.docx,*.xlsx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生物多样性, 群落结构, 物种多样性指数, 生态系统稳定性, 样方调查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青海省,  天峻县,  木里煤田七号坑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99.35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13997064591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sunxj@qhu.edu.cn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高寒矿区冻土—水文耦合作用与生态调控术及集成示范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孙新建. 青海省木里矿区聚乎更7号井植物丰富度数据集（2025年）. 国家冰川冻土沙漠科学数据中心(http://www.ncdc.ac.cn), 2026. https://cstr.cn/CSTR:11738.11.ncdc.db7664.2026.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