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2015-2019年黄河流域规模以上工业企业单位数统计数据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Statistics on the Number of Industrial Enterprises Above a Certain Size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  本数据集主要收集了黄河流域各地区(以县区级单位，共103个)规模以上工业企业单位数统计数据，摘自黄河流域流经地区年鉴。   1、数据集命名：流域规模以上工业企业单位数统计.xlsx。   2、属性信息：省：黄河流域流经省级地区（河南、陕西、山西、山东、青海、四川、甘肃、宁夏、内蒙古）。市：黄河流域流经市级地区（焦作、郑州、濮阳、吕梁、临汾、运城、菏泽、济南、济宁、泰安、德州、滨州、淄博、东营、兰州等）。县(区)：黄河流域流经县(区)级地区。单位数：黄河流域流经地区规模以上工业企业单位数。单位: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  人工收集整理并摘录。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工业企业单位数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山东,  四川,  宁夏,  内蒙古,  山西省,  陕西省,  河南省,  甘肃省,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2015-2019年黄河流域规模以上工业企业单位数统计数据. 国家冰川冻土沙漠科学数据中心(http://www.ncdc.ac.cn), 2021. https://cstr.cn/CSTR:11738.11.NCDC.YRIVER.2021.23.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