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泾河流域土地利用LC30米数据集（2000年、2010年、2020年）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lc30m data set of Jinghe River Basin (2000, 2010 and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  泾河流域30米的土地利用数据共包括8个一级类，分别是：耕地、森林、草地、灌木地、湿地、水体、人造地表、裸地。包含了丰富的地表覆盖空间分布信息，更好的描述土地利用状况和空间分布。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  数据来源于：http://www.globallandcover.com/。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分类影像主要使用30米多光谱影像（Landsat系列多光谱影像），高分一号(GF-1)WFV传感器16米分辨率多光谱影像。云量控制在10%以下。分为8个一级类，分别为耕地（代码10）、林地（代码20）、草地（代码30）、灌木地（代码40）、湿地（代码50）、水体（代码60）、人造地表（代码80）、裸地（代码90）。   以泾河流域为研究区域，掩膜提取泾河流域2000年、2010年、2020年空间分辨率为30米的土地利用数据。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  2000年、2010年、2020年土地利用数据的总体精度在85%以上，Kappa系数0.85以上。 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30米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泾河流域土地利用LC30米数据集（2000年、2010年、2020年）. 国家冰川冻土沙漠科学数据中心(http://www.ncdc.ac.cn), 2022. https://cstr.cn/CSTR:11738.11.ncdc.JRiver.db1974.2022.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