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黄河流域水土流失、水力侵蚀和风力侵蚀准确数据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Accurate Data on Water and Soil Loss, Water Erosion, and Wind Erosion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  1.本数据集收录了黄河流域地区部分市县的水土流失、水力侵蚀和风力侵蚀数据。   2.数据集命名：可找到的精确到市级数据.xlsx。   3.属性说明：（1）序号：侵蚀类型（2）省：黄河流域流经省级地区（3）市：黄河流域流经市级地区（4）县：黄河流域流经区县级地区（5）属性：水土流失程度（6）数据单位：km2。   4.三类监测指标：省、市/数据年份、县/年份 合计/km2（年份）、轻度、中度、强烈、极强烈、剧烈数据出处及作者。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  《水土保持公报》（2015-2019年）   《青海省2018水土保持公报》   《甘肃省2018水土保持公报》   《内蒙古2018水土保持公报》   《三门峡市水土流失现状及防治对策研究（刘香 侯建伟 郭家伟 易立新）》   《焦作市水土流失现状及治理对策（杜娟 王朝军 董得军）》   《郑州市水土流失原因及防治措施（郑州市环境监测中心站）》   《榆林水土流失危害不容忽视  （薛卫静）》   《延安市区水土流失问题与对策刍议（冯伟 李靖 张新和）》   《吕梁市离石区人民政府——吕梁市（离石城区）边坡边山水土流失治理的建议》   《临汾地区水土流失及防治对策（李红全）》   《泰安日报泰安市近6年治理水土流失面积1722.63平方公里》   《山东省聊城市水土保持区划》   《对东营市水土保持的研究与建议》   《运城市水土保持监督监测工作实践与体会（冯进喜）》   《滨州市水土流失重点防治区划分及防治途径（刘晓华 刘潘伟 张荣华 王贵霞 常成 张光灿）》   《济宁市水土保持现状及发展对策 --刘继柱 张琳 李申安 吴落霞》，德州晚报20181105期&gt;&gt;第07版:特别报道   《淄博市水土流失现状与对策分析（杨艳 卢明锋）》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  通过2015-2019年水土保持公报，人工采集相关数据成表格形式信息。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轻度, 中度, 强烈, 极强烈, 剧烈, 水土流失, 水力侵蚀, 风力侵蚀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黄河流域周边省市县,  黄河流域境内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黄河流域水土流失、水力侵蚀和风力侵蚀准确数据. 国家冰川冻土沙漠科学数据中心(http://www.ncdc.ac.cn), 2021. https://cstr.cn/CSTR:11738.11.ncdc.YRiver.2021.39.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