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Analysis on the regularity and related factors of cervical lymph node metastasis of locally advanced laryngeal carcinoma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10.12072/ncdc.imp.db3938.2023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11738.11.NCDC.IMP.DB3938.2023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paper analyzed the regularity of cervical lymph node metastasis (LNM) in locally advanced (T3, T4) laryngeal carcinoma to provide reference for neck target delineation of radiotherapy for laryngeal carcinoma; Ipsilateral metastasis in region II and region III is a related factor of ipsilateral and contralateral cervical LNM. Contralateral cervical LNM is rare in cN0 patients.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Objective to analyze the regularity of cervical lymph node metastasis (LNM) in locally advanced (T3, T4) laryngeal carcinoma, and to provide reference for neck target delineation in radiotherapy of laryngeal carcinoma. Methods: retrospective analysis of patients with locally advanced laryngeal cancer in Cancer Hospital of Chinese Academy of Medical Sciences from 2000 to 2017. All patients underwent at least bilateral neck lymph node dissection, and the LNM rate of each neck region was calculated. Logistic regression was used to analyze the related factors of LNM. The LNM rate was 57.1% (156 / 272). According to the location of the primary lesion, the patients were divided into three groups: group A (72 cases); In group B (8 cases), the main body of the primary lesion was deviated to one side but invaded the midline; In group C (114 cases), the primary lesion was huge or central. The LNM rate of different neck regions in group A was 36.3% in the ipsilateral cervical region II, 26.4% in the ipsilateral cervical region III and 6.9% in the ipsilateral cervical region IV, and 13.9%, 8.3% and 1.4% in the contralateral cervical region; Group B: ipsilateral cervical region II 41.9%, region III 29.1%, Region IV 11.6%, contralateral 18.6%, 14.0%, 1.2% respectively; In group C, 24.6%, 23.7% and 2.6% of left area II, area III and Area IV, and 21.9%, 26.3% and 6.1% of right area, respectively. The rate of bilateral LNM in group A was similar to that in group B and C (15.3% and 25.0%, P = 0.093). Whether the ipsilateral region III metastasis and clinical lymph node stage were associated with whether the contralateral neck was LNM (or = 2.929, 95% CI: 1.041-8.245, P = 0.042) and whether the contralateral neck was LNM (or = 0.082, 95% CI: 0.018-0.373, P = 0.001). Ipsilateral zone II and zone III metastasis were risk factors for ipsilateral Zone IV metastasis (P = 0.043, 0.009). Bilateral cervical regions II and III are high-risk LNM regions, and metastasis in regions IV and V is rare; Ipsilateral metastasis in region II and region III is a related factor of ipsilateral and contralateral cervical LNM. Contralateral cervical LNM is rare in cN0 patients.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Methods: retrospective analysis of patients with locally advanced laryngeal cancer in Cancer Hospital of Chinese Academy of Medical Sciences from 2000 to 2017. All patients underwent at least bilateral neck lymph node dissection, and the LNM rate of each neck region was calculated. Logistic regression was used to analyze the related factors of LNM.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size:749.4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Theme:Locally advanced, laryngeal carcinoma, lymph node metastasis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Gansu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Analysis on the regularity and related factors of cervical lymph node metastasis of locally advanced laryngeal carcinoma. National Cryosphere Desert Data Center(http://www.ncdc.ac.cn), 2023. https://cstr.cn/CSTR:11738.11.NCDC.IMP.DB3938.2023.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