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Current land use dataset of Urumqi River Watershed  (2000, 2010, 2020,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10.12072/ncdc.NIEER.db2451.2022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11738.11.ncdc.NIEER.db2451.2022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use/land cover (LULC) data for the years 2000, 2010, and 2020 were extracted for the Urumqi River Basin based on the GLC-FCS30 global fine-resolution land cover products (GLC-FCS30-2000, GLC-FCS30-2010, GLC-FCS30-2020), combined with high-precision DEM data, using the basin boundary for spatial clipping. The derived datasets have a spatial resolution of 30 meters and are stored in raster TIFF format. For the year 2021, the land use data were extracted from the 10-meter global LULC product (released by Esri and derived from Sentinel-2 imagery processed by the European Space Agency, ESA). The dataset was similarly clipped to the Urumqi River Basin boundary, yielding a spatial resolution of 10 meters, and stored in raster TIFF format.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sourced from the Aerospace Information Research Institute (AIR), Chinese Academy of Sciences (CAS) and the European Space Agency (ESA).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Long-term land cover change detection was conducted using the complete Landsat satellite archive (Landsat TM, ETM+, and OLI) from 1984 to 2020 on the Google Earth Engine (GEE) cloud computing platform. Through spatiotemporal change analysis and regional adaptive updating, we produced a global 30-meter fine-resolution dynamic land cover monitoring product for 2000-2020. The required land cover classes were subsequently extracted using the Urumqi River Basin watershed boundary. For the 2021 land use data, we utilized the global 10-meter land cover product developed by Esri, which was generated from Sentinel-2 data processed by the European Space Agency (ESA). The 2021 land use status data were then extracted using the same Urumqi River Basin boundary.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underwent rigorous manual quality control verification to ensure accuracy.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place:Urumqi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Surface Cover, 30m, Urumqi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2010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Place:Urumqi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Current land use dataset of Urumqi River Watershed  (2000, 2010, 2020, 2021). National Cryosphere Desert Data Center(http://www.ncdc.ac.cn), 2022. https://cstr.cn/CSTR:11738.11.ncdc.NIEER.db2451.2022.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