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额济纳年均NPP变化数据集（2000-2020年）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Change of average annual NPP</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10.12072/ncdc.nieer.db6489.2024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11738.11.NCDC.NIEER.DB6489.2024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  该数据集反映了2000-2020年额济纳不同景观类型年均NPP变化，包括祁连山和额济纳绿洲内的不同景观类型如农田、草地、荒漠、林地等，共包含了189条数据记录，可为评估额济纳植被生长状况提供支撑。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  CASA模型计算。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CASA模型进行计算，模型主要基于光能利用率和植被吸收的光合有效辐射计算，其中光能利用率通过温度胁迫因子、水分胁迫因子以及最大光能利用率计算获得，光合有效辐射由太阳辐射总量以及植被光合有效辐射的吸收比率确定，对模型计算结果进行检查和校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  为确保数据质量，对所获取数据进行检查统计，并与已有研究成果结果进行对照，数据集由专人进行检查和校正后入库。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2021/03/10-2021/03/10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额济纳, NPP, 变化趋势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额济纳绿洲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马登科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山地-绿洲-荒漠协同发展模式与对策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王川. 额济纳年均NPP变化数据集（2000-2020年）. 国家冰川冻土沙漠科学数据中心(http://www.ncdc.ac.cn), 2024. https://cstr.cn/CSTR:11738.11.NCDC.NIEER.DB6489.2024.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