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2013-2017年祖厉河渭河上游国家级重点治理区土地利用统计表数据集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national key harnessing areas in the upper reaches of Weihe River of Zuli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祖厉河渭河上游国家级重点治理区土地利用统计表数据集包括甘肃省定西市安定区、甘肃省庄浪县、宁夏回族自治区西吉县和甘肃省靖远县等区域2013年、2014年、2015年、2016年和2017年的土地利用统计表，基于空间分辨率为2米的卫星遥感影像加工获得，保存格式为xlsx，数据命名采用“所属重点治理区＋行政区＋年份＋土地利用统计表”的形式，如“××重点治理区××县××年土地利用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2013/01/02-2017/12/31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祖厉河渭河上游国家级重点治理区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 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甘肃省定西市安定区，甘肃省庄浪县，宁夏回族自治区西吉县，甘肃省靖远县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2013-2017年祖厉河渭河上游国家级重点治理区土地利用统计表数据集. 国家冰川冻土沙漠科学数据中心(http://www.ncdc.ac.cn), 2021. https://cstr.cn/CSTR:11738.11.ncdc.HHSTBC.2020.209.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