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forestry environment in Weihe River Basin (2001-2018)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of forestry environment in the provincial areas flowing through the Weihe River Basin from 1999 to 2017, including forest resources, afforestation, protection of natural forest resources, conversion of farmland to forest, wildlife protection of forestry system and project construction of nature reserves in various regions. Among them, forest resources include forest land area, forest area, artificial forest, forest coverage, total standing stock, forest stock and other data. The collection years are 1999 and 2003-2017; Afforestation includes artificial afforestation, aerial seeding, timber forest, economic forest, shelter forest, fuel forest, special-purpose forest, newly closed mountain area and other data. The collection years are 1999 and 2003-2017. The protection of natural forest resources includes the afforestation area completed this year, divided by afforestation mode, by forest species, regeneration area of slash, actual area closed for afforestation at the end of the year, newly closed area this year, seedling area this year, new area raised this year, area raised at middle and young ages, forest management and protection area, individual contracted management and protection, investment completion of fixed assets, national investment and other data, The collection years were 1999 and 2003-2017. The situation of returning farmland to forests includes the afforestation area, the afforestation area of returned farmland, the area of newly closed mountains for afforestation in that year, the completion amount of fixed assets and other data. The collection years are 1999 and 2003-2017. The construction of wildlife protection and nature reserve projects in the forestry system in each region includes the number of internationally important wetlands, the area of internationally important wetlands, the amount of forestry investment (national investment), the number of national nature reserves, the area of national nature reserves, the number of monitoring sections (pieces), and the percentage of classified water quality sections in all sections (class I, II, III, IV, V and inferior V) and other data were collected from 2001 to 2017. The meaning of each field is shown in the header. The data mainly comes from China Environmental Statistics Yearbook and provincial Environmental Statistics Bulletin of Weihe River Basin. The name of the data set is Weihe River Basin forestry environment statistics.zip. This data set provides basic data for Weihe River Basin forestry environment assessment.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China Environmental Statistics Yearbook, and the collection scope is Shaanxi Province, Gansu Province and Ningxia Hui autonomous region where the Weihe River Basin flows through.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relevant data and sort them into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manual sorting, verification and cross validation,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altitude:3903.0m-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Theme:Forestry environment, forest resources, socio-economic statistics,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set of forestry environment in Weihe River Basin (2001-2018). National Cryosphere Desert Data Center(http://www.ncdc.ac.cn), 2021. https://cstr.cn/CSTR:11738.11.ncdc.WRiver.2021.17.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