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渭河流域林业环境统计数据集（2001-2018年）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set of forestry environment in Weihe River Basin (2001-2018)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10.12072/ncdc.WRiver.db0019.2021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  本数据集为2001-2018年渭河流域流经省级地区林业环境统计资料，包含森林资源情况、造林情况、天然林资源保护情况、退耕还林情况和各地区林业系统野生动植物保护及自然保护区工程建设情况。   其中，森林资源情况包括林业用地面积、森林面积、人工林、森林覆盖率、活立木总蓄积量、森林蓄积量等数据，收集年份为2003-2017年；   造林情况包括人工造林、飞机播种、用材林、经济林、防护林、薪炭林、特殊用途林、新封山育林面积等数据，收集年份为2003-2017年。   天然林资源保护情况包括本年完成造林面积、按造林方式分、按林种分、迹地更新面积、年末实有封山育林面积、本年新封面积、森林管护面积、个体承包管护、固定资产投资完成额、国家投资等数据，收集年份为2003-2017年。   退耕还林情况包括当年造林面积、退耕地造林面积、当年新封山育林面积、固定资产完成额等数据，收集年份为2003-2017年。   各地区林业系统野生动植物保护及自然保护区工程建设情况包括国际重要湿地个数、国际重要湿地面积、林业投资完成额（国家投资）、国家级自然保护区个数、国家级自然保护区面积、监测断面个数（个）、分类水质断面占全部断面百分比（Ⅰ类、Ⅱ类、Ⅲ类、Ⅳ类、Ⅴ类、劣Ⅴ类）等数据，收集年份为2001-2018年。   各字段含义见表头，数据主要来源于《中国环境统计年鉴》和渭河流域流经《省级环境统计公报》。数据集命名：渭河流域林业环境统计数据.zip。本数据集为渭河流域林业环境评价提供了基础数据。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  数据来源于《中国环境统计年鉴》，收集范围为渭河流域流经的陕西省、甘肃省、宁夏回族自治区。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  人工采集相关数据整理成excel表。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  人工整理，并经过核对和交叉验证，数据质量良好。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渭河流域,陕西省,甘肃省,宁夏回族自治区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3903.0m-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林业环境, 森林资源, 社会经济统计数据, 统计公报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甘肃省,  宁夏回族自治区,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渭河流域林业环境统计数据集（2001-2018年）. 国家冰川冻土沙漠科学数据中心(http://www.ncdc.ac.cn), 2021. https://cstr.cn/CSTR:11738.11.ncdc.WRiver.2021.17.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