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长江流域未来50年干旱变化特征SPEI指数（2020-2070年）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SPEI Index of Drought Change Characteristics in the Yangtze River Basin over the Next 50 Years (2020-2070)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10.12072/ncdc.cjszyzljs.db2836.2023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11738.11.NCDC.CJSZYZLJS.DB2836.2023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  本数据集收录了长江流域12个水资源二级区未来50年逐月的SPEI指数。   1. 数据集命名   长江流域未来50年干旱变化特征SPEI指数.xlsx   2. 属性信息   洞庭湖水系：长江流域水资源二级区   汉江：长江流域水资源二级区   湖口以下干流：长江流域水资源二级区   金沙江石鼓以上：长江流域水资源二级区   金沙江石鼓以上：长江流域水资源二级区   岷沱江：长江流域水资源二级区   鄱阳湖水系：长江流域水资源二级区   太湖水系：长江流域水资源二级区   乌江：长江流域水资源二级区   宜宾至宜昌：长江流域水资源二级区   宜昌至湖口：长江流域水资源二级区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  CanESM5数据：https://pcmdi.llnl.gov/CMIP6/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  采用全球气候模式CanESM5的三种气候情景下的输出结果，通过降尺度和偏差矫正得到2020-2070年长江流域12个二级水资源区逐月的降水和蒸散发数据，进而计算得到未来50年逐月SPEI指数。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高强迫情景, 中强迫情景, 低强迫情景, 长江流域, SPEI指数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2020-2070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2019YFC0408900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长江水资源开发保护战略与关键技术研究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杜涛. 长江流域未来50年干旱变化特征SPEI指数（2020-2070年）. 国家冰川冻土沙漠科学数据中心(http://www.ncdc.ac.cn), 2023. https://cstr.cn/CSTR:11738.11.NCDC.CJSZYZLJS.DB2836.2023.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