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2013-2017年河龙区间多沙粗沙国家级重点治理区土地利用图数据集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Dateset of land use between Hekou and Longmen  Intermediate Basin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10.12072/ncdc.HHSTBC.db0008.2021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河龙区间多沙粗沙国家级重点治理区土地利用图数据集包括内蒙古自治区准格尔旗、伊金霍洛旗、东胜区，陕西省神木县、宝塔区等区域2013年、2014年、2015年、2016年和2017年的土地利用，空间分辨率为25米，保存格式为.tif，数据命名采用“所属重点治理区＋行政区＋年份＋土地利用图”的形式，如“××重点治理区××县××年土地利用图”。土地利用的分类系统包括8个一级类、22个二级类和2个三级类。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数据源为Landsat TM和ETM+数据，主要从美国地质调查局（USGS，https://glovis.usgs.gov/） 获取，少数从中国地理空间数据云（http://www.gscloud.cn/） 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最小图斑面积对应的实际地物面积不小于0.1hm2，多边形无重叠、无空隙，图斑属性无空置或冗余。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河龙区间多沙粗沙国家级重点治理区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河龙区间, 国家级重点治理区, 土地利用, 多沙粗沙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准格尔旗,  神木县,  东胜区,  宝塔区,  伊金霍洛旗,  内蒙古,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109.01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2013-2017年河龙区间多沙粗沙国家级重点治理区土地利用图数据集. 国家冰川冻土沙漠科学数据中心(http://www.ncdc.ac.cn), 2021. https://cstr.cn/CSTR:11738.11.ncdc.HHSTBC.2020.128.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