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跨地区防洪除涝协同设计方法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Collaborative design method for flood control and waterlogging drainage across regions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对长三角示范区防洪除涝韧性影响较大的韧性影响因子，对照《防洪标准》（GB50201-2014）开展示范区防洪标准适用性分析；重点针对设计暴雨、设计洪水和设计水位等防洪除涝标准关键技术指标，开展了跨地区防洪除涝标准协同设计方法研究。在对长三角示范区所在的阳澄淀泖区和杭嘉湖区的致灾雨型、致灾时段、不同时段设计雨量，以及设计暴雨时空分布组合等协同性分析的基础上，初步提出了设计暴雨协同设计方法研究思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长三角生态绿色一体化发展示范区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长江下游地区, 长三角生态绿色一体化发展示范区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长江下游地区,  太湖流域,  长三角生态绿色一体化发展示范区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戴翀翌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戴翀翌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戴翀翌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戴翀翌. 跨地区防洪除涝协同设计方法. 国家冰川冻土沙漠科学数据中心(http://www.ncdc.ac.cn), 2025. https://cstr.cn/CSTR:11738.11.NCDC.NHRI.DB6828.2025.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