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文件名中的经纬度表示该子区域的中心位置，大小为40.60GB；另有整个西北地区合并版土壤有机碳密度均值（mean）和标准差（sd），已完成金字塔构建，大小63.70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西北地区30m分辨率土壤有机碳密度（0~100cm）数据. 国家冰川冻土沙漠科学数据中心(http://www.ncdc.ac.cn), 2023. https://cstr.cn/CSTR:11738.11.ncdc.qlsst.db2691.2023.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常宗强,席海洋,苏永红,温小虎,朱猛,张举涛,张成琦. 基于碳氮循环的中蒙荒漠生态脆弱区生态系统对全球变化响应研究[J]. 地球科学进展, 2022-11-16 00:00:00.0,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Yongge, Liu Wei, Feng Qi, Zhu Meng, Yang Linshan, Zhang Jutao. Effects of land use and land cover change on soil organic carbon storage in the Hexi regions, Northwest China[J/OL]. Journal of Environmental Management, 2022-06-15, 312: 114911. DOI: 10.1016/j.jenvman.2022.114911.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Meng, Feng Qi, Qin Yanyan, Cao Jianjun, Zhang Mengxu, Liu Wei, Deo RavineshC, Zhang Chengqi, Li Ruolin, Li Baofeng. The role of topography in shaping the spatial patterns of soil organic carbon[J/OL]. CATENA, 2019-05-01, 176: 296-305. DOI: 10.1016/j.catena.2019.01.029.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