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黄河流域遥感生态环境指数RSEI数据集（2000-2021年）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RSEI of the Yellow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10.12072/ncdc.nieer.db6977.2025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11738.11.NCDC.NIEER.DB6977.2025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  基于2000-2021年的MODO9A1、MOD11A2、MOD13A1数据产品，选取7-9月份云量小于5%的数据，基于WET,NDVI,LST,NDBSI指标计算遥感生态环境指数RSEI，采用平均值的方法获取2000-2021年逐年RSEI指数。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  数据来源：   MODO9A1 500m GEE ( https://developers.google.cn/earth-engine)   MOD11A2 1000m GEE ( https://developers.google.cn/earth-engine)   MOD13A1 500m GEE ( https://developers.google.cn/earth-engine)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  GEE平台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GEE平台，2000-2021年的MODO9A1、MOD11A2、MOD13A1数据产品，选取7-9月份云量小于5%的数据，基于WET,NDVI,LST,NDBSI指标计算遥感生态环境指数RSEI，去除水体部分，采用平均值的方法获取2000-2021年逐年RSEI指数,数据采用重采样的方法，分辨率为250m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Albers_Conic_Equal_Area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遥感, 生态环境指数, RSEI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95.90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119.22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何振芳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何振芳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何振芳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何振芳. 黄河流域遥感生态环境指数RSEI数据集（2000-2021年）. 国家冰川冻土沙漠科学数据中心(http://www.ncdc.ac.cn), 2025. https://cstr.cn/CSTR:11738.11.NCDC.NIEER.DB6977.2025.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