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2011年阿拉善涡度协方差数据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 Alxa vorticity covariance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本数据集为2011年阿拉善涡度协方差数据。 数据按采集器分开存储： CR1000包括土壤含水量、土壤温度、土壤热通量，采样频率30min，采集时间：2011年5月25日，各字段含义见表头 CR3000包括CSAT3和测定的三维超声风速和H2O和CO2通量数据在线处理结果，另外包括四辐射、反照率、空气温湿度、水汽压及大气压，采样频率30min，采集时间：2011年5月24日，各字段含义见表头。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超声风速仪：CSAT3，CO2/H20分析仪：Li-7500A，数据采集器有两种：CR1000和CR3000。CSAT3和Li-7500A测定高度为20m，四辐射仪测定高度为10m，空气温湿度测定高度为8m，大气压测定高度为10m。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2011/05/24-2011/05/25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四辐射, 大气压, 土壤温度, 空气温湿度, 土壤热通量, 水汽压, 反照率,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黑河下游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2011年阿拉善涡度协方差数据. 国家冰川冻土沙漠科学数据中心(http://www.ncdc.ac.cn), 2021. https://cstr.cn/CSTR:11738.11.ncdc.nieer.2020.1384.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