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祁连山国家公园逐月干旱指数数据（1961-2020年）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drought index data of Qilian Mountain National Park (1961-2020)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11738.11.ncdc.nieer.db2739.2023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包含了祁连山从1961年至2020年的SPEI栅格数据集，地理坐标系WGS_1984,投影坐标系Albers。通过计算逐月降水量与潜在蒸散量的差值及其偏离平均状态的程度，建立基于不同时间尺度的水分盈亏累计序列，具有多时间尺度的特点，能够综合反映区域干湿状况的演变过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  气象数据从中国气象科学数据共享服务网（http://data.cma.cn/）获取。地理空间数据云获取数字高程（DigitalElevation Model, DEM）等。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气温、降水栅格数据，计算获得祁连山国家公园的SPEI长时间序列栅格数据集。通过计算逐月降水量与潜在蒸散量的差值及其偏离平均状态的程度，建立基于不同时间尺度的水分盈亏累计序列，具有多时间尺度的特点，能够综合反映区域干湿状况的演变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  严格遵循相关技术规定和标准进行数据加工，操作规范，数据完整性，逻辑一致性，精度高，质量较好。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SPEI, 栅格数据集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102.99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王让会. 祁连山国家公园逐月干旱指数数据（1961-2020年）. 国家冰川冻土沙漠科学数据中心(http://www.ncdc.ac.cn), 2023. https://cstr.cn/CSTR:11738.11.ncdc.nieer.db2739.2023.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