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全球输沙势数据集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global sand drift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10.12072/ncdc.desert.db7640.2026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11738.11.ncdc.desert.db7640.2026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  输沙势计算公式为：   DPi=∑U 2×(U-Ut)/100×t   其中i表示16个方位，具体有N、NNE、NE、NEE、E、EES、ES、ESS、S、SSW、WS、WWS、W、WWN、NW和NNW；U表示的是在10m高度上大于或等于阈值风速的有效风的每个风速级中的平均风速；Ut表示的是参考粒径0.25和0.30mm对应的阈值风速5.3和5.8m/s，是10m高度上使沙子处于跃移状态的最小风速；而t是刮风的时间，风速统计表中以百分率表示。采用2m/s的间隔，对大于5.3m/s的有效风，采用的平均风速分别为6、8、10、12、14、16、18、20、22、24、26、28、30、32和33m/s；而对大于5.8m/s的有效风，采用的平均风速分别为7、9、11、13、15、17、19、21、23、25、27、29、31和32m/s。注意：为了确保Fryberger提出的风能环境的有效分类（低能  将16个风向上得到的输沙势投影到正东（RDP_E）或正北方位(RDP_N)上，目的是为了计算合成输沙势（RDP）、合成输沙方向（RDD）和风向变率（WDV）:   RDP=sqrt(RDP_E 2+RDP_N 2)   RDD=180+57.296atan2(RDP_E⁄RDP_N)   WDV=RDP/DP   注意计算有效风百分比时的分母使用的是平年8760，闰年8784（年总小时数）。   由10m高度U和V向风速得到的风速风向数据来自于1940-2025年0.25° ERA5小时风数据和1950-2025年0.1° ERA5-Land小时风数据。   DP为来自16个风向的输沙势总和；RDP为合成输沙势，表示各种方向风下的净输沙势；RDD为合成输沙方向，表示输沙净走向；WDV为风向变率，是RDP/DP的比率，表示风来自一个方向（接近1），风来自很多方向（接近0）。具体地说，DP_方位表示该风向上的输沙势；RDP_E或RDP_N是将16个风向上的输沙势投影到正东或正北方位上，目的是为了计算合成输沙势（RDP）、合成输沙方向（RDD）和最终的风向变率（WDV）；输沙势_风向_区间是该风向上2m/s区间的输沙势；方位_频数是该风向上2m/s区间内出现的起沙风次数；方位_频率是该风向上2m/s区间内的起沙风比例。所有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0.1度, 0.25度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输沙势, 合成输沙势, 合成输沙方向, 风向变率, 频数, 频率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1940-2025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XDA20100104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集成预测与优化调配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41901377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基于多源遥感数据估算塔克拉玛干沙漠的输沙通量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李国帅,李新. 全球输沙势数据集. 国家冰川冻土沙漠科学数据中心(http://www.ncdc.ac.cn), 2026. https://cstr.cn/CSTR:11738.11.ncdc.desert.db7640.2026.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