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10.12072/ncdc.hhstbc.db4182.2024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11738.11.NCDC.HHSTBC.DB4182.2024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the Yellow River Sandy and coarse sand national key control areas in 2022 includes Gujiao City, Loufan County, Youyu County, jingle County, Shenchi County, Wuzhai County, Kelan County, Hequ County, Baode County, Pianguan County, Ji County, Xiangning County, Daning County, Xi County, Yonghe County, Pu County, Fenxi County, Lishi District, Xing County, Linxian County, Liulin County, Shilou County, Lan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Statistical table of human soil erosion plots in 2022 in Yuyang District, Shenmu City, Fugu County, Hengshan District, Jingbian County, Dingbian County, Suide County, Mizhi County, Jia County, Wubao County, Qingjian County, Zizhou County, Jingchuan County, Lingtai County, Xifeng District, Qingcheng County, Huan County, Huachi County, Heshui County, Ning County, Zhenyuan County in Gansu Province, and 70 counties in Yanchi County in Ningxia Hui Autonomous Region.&lt;/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different degrees of soil erosion and the proportion of different degrees to the area of man-made soil erosion plot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sandy coarse sand national key control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loss plots in the Yellow River Sandy and coarse sand national key control area in 2021. National Cryosphere Desert Data Center(http://www.ncdc.ac.cn), 2024. https://cstr.cn/CSTR:11738.11.NCDC.HHSTBC.DB4182.2024.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