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Prediction and analysis data set of high concrete dam disease disaster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10.12072/ncdc.nhri_dam.db6848.2025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cracking data results of the simplified numerical calculation of the Wudongde High Arch Dam, including the crack propagation, as well as the calculation results of the dam's axial horizontal displacement, along river horizontal displacement, and vertical displacement. This dataset adopts the FEM+DDA coupling method, and the finite element modeling is based on the actual design dimensions. The dataset results can be viewed or edited through various software in this article. In this dataset, there are two processes, each containing two files: 'disout' and 'gidres'.' disout 'includes: horizontal displacement along the dam axis (m), horizontal displacement along the river direction (m), and vertical displacement (m); Gidres "includes the analysis and calculation results of two pathological disaster damage processes in the numerical model of high concrete dams based on FEM-DDA continuous discontinuous cracking propagation technology. Contains msh files and res files, need to download gid to open.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was calculated using the "SAPTIS-DDA" independently developed by the Hydroelectric Center of the Chinese Academy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calculation mainly uses the finite element software SAPTIS, and the FEM-DDA coupling algorithm is derived from the basic theory of finite elements, relevant works of Academician Zhu Bofang, software manuals,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simulation calculation values have been verified through feedback, and the stress cloud map distribution pattern conforms to common sense, indicating accurate model verification; The simulation of the cracking and damage process of the dam conforms to objective laws, which can be used to study the mechanism of pathological disasters.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time:2025/01/01-2025/03/12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place:Geheyan Hydropower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format:*.txt,*.msh,*.res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Theme:Pathological disaster, cracking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Place:Geheyan Hydropower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Yanna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Yanna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Yanna. Prediction and analysis data set of high concrete dam disease disaster. National Cryosphere Desert Data Center(http://www.ncdc.ac.cn), 2025. https://cstr.cn/CSTR:11738.11.NCDC.NHRI_DAM.DB6848.2025.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