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黄河上游河流矢量图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Vector image of the upper Yellow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黄河是我国第二长河，黄河泥沙问题引起全世界人民的关注。本数据根据全国1:400万河流矢量图为底图，利用黄河上游流域边界裁剪而成。河流矢量图是利用地形图提取流域边界的一个关键要素，同时也是做洪水演进和泥沙演进的关键要素。 本图以ArcGIS,.shp文件存储，包括自黄河源区到头道拐的干流和支流矢量图。河流矢量图是利用地形图提取流域边界的一个关键要素，同时也是做洪水演变和泥沙演进的关键要素。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全国1:400万河流矢量图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根据全国1:400万河流矢量图为底图，利用黄河上游流域边界裁剪而成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由于三湖河口至河口镇河流比降极小，因此该段流域边界存在一定误差。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2000/01/01-2009/01/01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流域边界, 基础地理, 1:400万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黄河上游,  青海省,  宁夏,  四川,  内蒙古,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2011CB403306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黄河上游沙漠宽谷段风沙水沙过程及调控机理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黄河上游河流矢量图. 国家冰川冻土沙漠科学数据中心(http://www.ncdc.ac.cn), 2020. https://cstr.cn/CSTR:11738.11.ncdc.nieer.2020.1509.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