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黄河上游河流矢量图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Vector image of the upper Yellow River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10.12072/ncdc.nieer.db3116.2023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黄河是我国第二长河，黄河泥沙问题引起全世界人民的关注。本数据根据全国1:400万河流矢量图为底图，利用黄河上游流域边界裁剪而成。河流矢量图是利用地形图提取流域边界的一个关键要素，同时也是做洪水演进和泥沙演进的关键要素。 本图以ArcGIS,.shp文件存储，包括自黄河源区到头道拐的干流和支流矢量图。河流矢量图是利用地形图提取流域边界的一个关键要素，同时也是做洪水演变和泥沙演进的关键要素。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全国1:400万河流矢量图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根据全国1:400万河流矢量图为底图，利用黄河上游流域边界裁剪而成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由于三湖河口至河口镇河流比降极小，因此该段流域边界存在一定误差。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2000/01/01-2009/01/01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884.1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流域边界, 基础地理, 1:400万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黄河上游,  宁夏,  四川,  内蒙古,  甘肃省,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杜鹤强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2011CB403306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黄河上游沙漠宽谷段风沙水沙过程及调控机理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薛娴. 黄河上游河流矢量图. 国家冰川冻土沙漠科学数据中心(http://www.ncdc.ac.cn), 2020. https://cstr.cn/CSTR:11738.11.ncdc.nieer.2020.1509.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