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the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the monthly grid data of the new generation typical concentration emission path scenario (rcp4.5) in the fifth coupled model comparison plan (cmip5), the spatial resolution is unified to 0.75 ° × 0.75°。 The python statistical analysis library is used to cut the data points in the study area and make the regional average precipitation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of Altai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of Altai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the south of Altai Mountain (2021-2080). National Cryosphere Desert Data Center(http://www.ncdc.ac.cn), 2022. https://cstr.cn/CSTR:11738.11.ncdc.XBSAQ.db2270.2022.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