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东北多年冻土区30m冻融灾害风险性评估图（2023-2024年）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freeze-thaw disaster risk assessment map of the permafrost region in Northeast China (2023-2024)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10.12072/ncdc.nieer.db7264.2026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11738.11.NCDC.NIEER.DB7264.2026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不同于现状分布图，本数据构建了融合“实测灾害扰动信息”与“环境潜在风险因子”的机器学习综合评价模型，实现了对未调查路段及潜在高风险区域的定量化风险区划。数据以不稳定性指数（0.0–1.0）表征风险程度，揭示了多年冻土热稳定性、地形水文条件与人类工程扰动（公路热岛效应、管道主动热源）之间的空间耦合关系。该成果为寒区线性工程的风险识别、预防性养护及选线规划提供了关键的数据支撑。   数据集核心字段为不稳定性指数（0-1.0），按照风险程度划分为五个等级：   0–0.20（极高稳定性/低风险）：主要分布于南界（SLLP）以南的季节冻土区。   0.20–0.40（高稳定性/较低风险）：属于弱敏感区，多见于地温较低（  0.40–0.60（中等稳定性/中风险）：关键预警区，主要分布于1970s与1990s多年冻土南界之间的退化过渡带。   0.60–0.80（低稳定性/较高风险）：工程不稳定带，紧邻国道与省道主干线，热融灾害多发。   0.80–1.00（极低稳定性/极高风险）：重点干预区，高度聚焦于道路（铁路，公路）沿线及中俄原油管道（CRCOP）及北部大片不连续冻土区的交通枢纽。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  自主产生，融合了多期野外科学考察记录，以及机器学习模型得到预测结果。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综合利用机器学习算法对地温（LST）、地温（MAGT）、植被覆盖（NDVI）、地形（坡度坡向）及工程热扰动因子进行权重反演。通过融合实测冻害点位进行监督学习，构建连续不稳定性指数模型，实现从点状现状向面状风险潜势的转化。   输入参数：整合了东北多年冻土区1970s与1990s南界变迁数据。   扰动模拟：针对公路“被动集热”产生的热岛效应与原油管道“主动排热”引发的局部融化筒结构进行物理机制建模。   精度评估：通过对漠河枢纽、根河-牙克石退化前缘等典型脆弱区进行实地验证，确保风险等级划分的准确性。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  （1）精度与尺度：数据采用1:10万比例尺，空间分辨率为30米，确保了在线性工程缓冲区（公路、铁路、管道）内的精细化表达。   （2）模型方法：采用融合“实测冻融灾害扰动信息”与“环境风险潜在因子”的综合评价模型。通过计算不稳定性指数，实现从定性描述向定量评估的转变。   （3）标准规范：评价等级严格划分为五个梯度（0–0.2至0.8–1.0），各等级定义明确。例如，极高风险区（0.8–1.0）通过对冲效应机理进行验证，高稳定性区（0.2–0.4）则参考了多年平均地温及土壤排水条件等物理指标。   （4）验证与可靠性：风险分布结果与大兴安岭北部大片不连续冻土区、中南部岛状冻土区表现出高度一致性。特别针对G111、G331及中俄原油管道等典型廊道进行了实地扰动模拟验证，确保了预测结果对预防性养护的指导价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冻融灾害风险评估, 不稳定性指数, 线性工程, 中俄原油管道, 空间格局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金会军,  唐建军,  王文辉,  金晓颖,  李善珍,  黄帅,  陈敦,  王宏伟,  杨岁桥,  李祖旺,  燕翱翔,  程耀辉,  李景涛,  张泽,  王立峰,  张虎,  刘萌心,  张圣嵘,  杨雪,  刘子瑞,  岳子颖,  吴海彬,  邢鲁宁,  陈思宇,  徐景妍,  何峥雲,  米虹岐,  彭文昊,  梁峻贺,  史艳玲,  周智熠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唐建军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王文辉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,唐建军,王文辉,金晓颖,李善珍,黄帅,陈敦,王宏伟,杨岁桥,李祖旺,燕翱翔,程耀辉,李景涛,张泽,王立峰,张虎,刘萌心,张圣嵘,杨雪,刘子瑞,岳子颖,吴海彬,邢鲁宁,陈思宇,徐景妍,何峥雲,米虹岐,彭文昊,梁峻贺,史艳玲,周智熠. 东北多年冻土区30m冻融灾害风险性评估图（2023-2024年）. 国家冰川冻土沙漠科学数据中心(http://www.ncdc.ac.cn), 2026. https://cstr.cn/CSTR:11738.11.NCDC.NIEER.DB7264.2026.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