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黄河流域文化保护数据（2015-2019年）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Cultural Preservation in the Yellow River Basin (2015-2019)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10.12072/ncdc.YRiver.db1965.2022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11738.11.ncdc.YRiver.db1965.2022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各级（省市县）的文化保护和民俗活动保护等相关资料。数据集命名：文化保护数据.xlsx。属性说明：序号：名单序号，省：黄河流域流经省级地区（河南，陕西，山西，山东，青海，四川，甘肃，宁夏，内蒙古），市：黄河流域流经市级地区（三门峡、洛阳、焦作、郑州、新乡、开封、濮阳、榆林、延安、渭南、吕梁、忻州、临汾、运城、菏泽、济宁、泰安、聊城、济南、德州、滨州、淄博、东营等），县：黄河流域流经区县级地区。 注：文化保护/单位：文化保护个数（个），民俗活动保护/单位：民俗活动保护个数（个），以及民俗活动种类。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  本数据集主要来源于博雅文化旅游网和个人图书馆。 下载网址：①http://www.bytravel.cn/ ②http://www.360doc.com/userhome/47720639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  人工收集并整理。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文化保护, 风俗活动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山西省,  山东省,  青海省,  四川省,  甘肃省,  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黄河流域文化保护数据（2015-2019年）. 国家冰川冻土沙漠科学数据中心(http://www.ncdc.ac.cn), 2022. https://cstr.cn/CSTR:11738.11.ncdc.YRiver.db1965.2022.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