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2015-2016年黄河流域有色金属资源分布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of Non-ferrous Metal Resources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是流域各省份（河南省、陕西省、山西省、山东省、青海省、四川省、甘肃省、宁夏回族自治区、内蒙古自治区）铜矿、铅矿、锌矿、铝土矿的收集与整理，以万吨为单位对经典的有色金属铜矿、铅矿、锌矿、铝土矿进行了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在年度报告中按照分地区模块进行关键词查询。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将年度报告数据整理成表格形式的数据。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2015/01/01-2022/04/01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铜矿, 铅矿, 锌矿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甘肃省,  四川省,  青海省,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2015-2016年黄河流域有色金属资源分布. 国家冰川冻土沙漠科学数据中心(http://www.ncdc.ac.cn), 2022. https://cstr.cn/CSTR:11738.11.ncdc.YRiver.db1941.2022.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