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Liangzhou District Tourism Resource Spatial Quantity Grading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a processed statistical dataset, sourced from the tourism resource survey and statistics conducted jointly by the Culture, Sports, Radio, Television, and Tourism Bureau of Liangzhou District, Wuwei City, Gansu Province, in collaboration with relevant departments and professional technical teams. The data collection is based on the town level administrative unit as the basic statistical unit, and the quantity of tourism units is counted. The statistical results are classified using a combination of equidistant and natural breakpoints to form spatial classification thematic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original single point vector data of tourism resources (point feature layer, including resource location coordinates and attribute information); By manually counting the number of individual tourism resources within each administrative unit (township/street); Connect the statistical results to the vector layer of the administrative boundary of Liangzhou District; Use natural fracture method to classify the resource quantity field within the administrative unit into five levels, and apply graded color rendering; Overlay the administrative boundaries of Liangzhou District as a geographic reference, and ultimately export it as a Shapefile format feature class file.  This dataset is a derived data product that converts discrete resource points into continuous density fields through standard spatial analysis processes, used to reveal the spatial agglomeration pattern of tourism resources.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Basic data quality control: The original point data is obtained by the official census team through field investigation, archive verification, and multi-source positioning, following unified national standards to ensure the standardization and authority of resource classification, positioning, and attributes; The census process includes multiple rounds of internal audits and expert reviews.  (2) Data processing quality control: In the ArcGIS 10.8 platform, kernel density analysis is strictly performed according to standard tool parameters; Visual inspection and statistical verification before and after processing (comparing the consistency between the original point distribution and density hotspots); Manually review outliers (high-density isolated points).  (3) Complete generation process: raw point data collection (field survey+spatial positioning) → data cleaning and vector layer construction → ArcGIS kernel density estimation analysis (parameter setting+calculation) → hierarchical rendering and administrative boundary overlay → output dataset.  (4) Usage: The mature ArcGIS spatial analysis module is used throughout the process, with no custom scripts or non-standard algorithms.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place:Liangzhou District, Wuwei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Theme:Liangzhou District, tourism resources, spatial quantity classification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Wuwei City,  Liangzhou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Peng,  Wen 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author:Wen Qian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manager:Wen Qian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name:Measurement of Value-Added and Economic Contribution of Cultural and Tourism Industry in Gansu Province Based on the IO-TSA Integrated Model</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Peng, Wen Qian. 2024 Liangzhou District Tourism Resource Spatial Quantity Grading Dataset. National Cryosphere Desert Data Center(http://www.ncdc.ac.cn), 2026. https://cstr.cn/CSTR:11738.11.NCDC.TOURISM.DB7195.2026.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