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山西省太原市碳钢渣+粗砂土柱实验数据（2019年5月-12月）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carbon steel slag + coarse sand soil column in Taiyuan, Shanxi Province (may December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10.12072/ncdc.UTCMW.db2186.2022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11738.11.ncdc.UTCMW.db2186.2022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粉末状碳钢渣为吸附材料，粗砂作为骨料，通过淋溶实验，研究碳钢渣和粗砂配比PRB治理酸性老窑水，分析PRB治理酸性老窑水的动态吸附规律及PRB填充材料的配比。数据集共包含450个数据。本次开展的实验时间为2019年5月，开展的实验地点为山西省太原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（Fe、Mn、Zn）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2019/05/01-2019/12/31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碳钢渣, 吸附材料, 动态吸附规律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山西省太原市碳钢渣+粗砂土柱实验数据（2019年5月-12月）. 国家冰川冻土沙漠科学数据中心(http://www.ncdc.ac.cn), 2022. https://cstr.cn/CSTR:11738.11.ncdc.UTCMW.db2186.2022.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