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甘肃民勤风沙运动输沙率和输沙强度沿高度分布（2009-2013年）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of sand transport rate and intensity along height in Minqin, Gansu Province (2009-2013)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10.12072/ncdc.973Desert.db0081.2020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本数据集主要研究民勤风沙强度。数据属于风沙环境力学范围。 数据文件名称：民勤风沙运动输沙率和输沙强度沿高度分布.xlsx，包含5个表：（1）20110430（20110430-20110501期间输沙强度观测记录表）（2）20110513（20110513-20110514期间输沙强度观测记录表）（3）20110514（20110514-20110514期间输沙强度观测记录表）（4）20110515（20110515-20110516期间输沙强度观测记录表）（5）20110516（20110516-20110517期间输沙强度观测记录表），包含了民勤三号观测站输沙强度的测定，同时包含了温度、湿度及三个不同高度测得的输沙强度等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野外输沙探头测量，数采自动记录。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观测方法：输沙探头测量。采集时间：2011年4-5月，采集频率1HZ。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严格按照仪器操作规范进行观测和数据采集。在加工生成数据表时，剔除了一些明显误差数据。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2011/04/01-2011/05/01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输沙强度, 输沙率,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巴丹吉林沙漠边缘,  甘肃，民勤，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薄天利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绿洲化、荒漠化关键物理过程及其数值仿真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薄天利. 甘肃民勤风沙运动输沙率和输沙强度沿高度分布（2009-2013年）. 国家冰川冻土沙漠科学数据中心(http://www.ncdc.ac.cn), 2020. https://cstr.cn/CSTR:11738.11.ncdc.973Desert.2020.84.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