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全球航运排放量数据集（2013，2016-2021年）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shipping emissions for the years 2013 and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10.5281/zenodo.11069531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  高分辨率船舶排放清单是大气科学、海洋科学、环境管理等各个学科的重要数据集。在这里，我们展示了 2013 年、2016 年至 2021 年分辨率为 0.1° × 0.1° 的全球高时空分辨率船舶排放清单，由最先进的航运排放清单模型 （SEIMv2.2） 生成。在主要空气污染物和温室气体方面，2021 年全球船舶排放了 8.472 亿吨二氧化碳、230 万吨二氧化硫、1610 万吨氮氧化物、791.2 万吨二氧化碳、737.3 千吨氢化合物、415.5 吨初级 PM2.5、61.6 千吨 BC、210.3 千吨 CH4、45.1 千吨 N2O，占二氧化硫的 3.2%; 根据社区排放数据系统 （CEDS），全球所有人为来源的 NOx 和 CO2 排放量的 14.2% 和 2.3%。根据盘点结果，导致全球船舶排放的船舶类型构成保持相对稳定。从时间上看，全球船舶排放的每日波动最小。在空间上，高分辨率排放数据集揭示了不同海洋区域之间不同类型船舶的船舶排放贡献模式。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 300 亿个自动识别系统 （AIS） 信号，SEIMv2.2 集成了实时船舶位置、速度和技术参数，以对 CO2、NOx、SO2、PM2.5、CO、HC、N2O 和 CH4 等关键物种的船舶排放进行建模。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  最初，每年 300 亿个自动识别系统 （AIS） 数据进行了广泛的清理，以确保数据在时间和空间分布方面的有效性和准确性。随后，将 AIS 数据的实时船舶位置和速度与静态技术参数、排放因子和其他计算参数相结合，SEIM 逐船、逐个信号地模拟船舶排放。最后，对结果进行汇总和分析。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  提供按船舶类型和船龄划分的每日细分数据，可用于广泛的研究目的，将为精细的科学研究和航运减排提供坚实的数据基础。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船舶排放, 大气污染, 海洋污染, 时空分析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刘欢. 全球航运排放量数据集（2013，2016-2021年）. 国家冰川冻土沙漠科学数据中心(http://www.ncdc.ac.cn), 2024. https://cstr.cn/CSTR:11738.11.NCDC.ZENODO.DB6617.2024.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W, Wang X, He T, Liu H, Luo Z, Lv Z, He K. High-resolution global shipping emission inventory by Shipping Emission Inventory Model (SEIM)[J/OL]. Earth System Science Data Discussions, 2024, 2024: 1-31. DOI: 10.5194/essd-2024-258.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