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r>
        <w:rPr>
          <w:rFonts w:ascii="Times New Roman" w:hAnsi="Times New Roman"/>
          <w:b/>
          <w:sz w:val="32"/>
          <w:lang w:eastAsia="zh-CN"/>
        </w:rPr>
        <w:tab/>
      </w:r>
      <w:r>
        <w:rPr>
          <w:rFonts w:ascii="Times New Roman" w:hAnsi="Times New Roman"/>
          <w:b/>
          <w:sz w:val="32"/>
          <w:lang w:eastAsia="zh-CN"/>
        </w:rPr>
        <w:t xml:space="preserve"> Cryosphere Inland Water Greenhouse Gases Database(1985-2023)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10.5281/zenodo.8265741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11738.11.NCDC.ZENODO.DB4014.2023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a database called the Cryosphere Inland Waters Greenhouse Gas Database (CIWD-GHG), which provides spatiotemporal resolution greenhouse gas (CO2, CH4, and N2O) data for the inland waters of the cryosphere (lakes, ponds, reservoirs, rivers, and streams). This dataset was created through a synthesis program.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compile the dataset, we searched various sources including peer-reviewed papers, theses, graduation theses, and public databases. The platforms used for search include Web of Science、Google Scholar、China National Knowledge Infrastructure、Arctic Data Center、Zenodo、Environmental Data Initiative And PANGAEA. The search string is: (methane or CH4or carbon dioxide or CO2or nitrous oxide or N2O or greenhouse gas *) and (river or stream or lake or swamp area *). And (rivers or streams or lakes or ponds or reservoirs) and (Arctic * or Xizang * or Greenland or Antarctica or glaciers * or permafrost). We conducted multiple searches before April 2023 to ensure completeness.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have adopted consistent standards to filter search results. Specifically, we included greenhouse gas concentration or flux data measured in inland water systems associated with permafrost or glaciers, such as streams, rivers, ponds, lakes, and reservoirs. The research focus is on the cryosphere, excluding locations outside of this range. Wetland ecosystems and inland waters in cold regions without glaciers or permafrost are also not included. In addition, floodplain lakes connected to rivers are also excluded, and only those lakes that are barely connected to highly enclosed rivers are listed as lake locations. The gas concentration data in permanently frozen water bodies are not included. We also collected auxiliary data on the physical and chemical characteristics of water bodies, climate, and land cover as much as possible.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time:1985/01/01-2023/04/01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place:Cryosphere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Theme:Greenhouse gases, inland waters, ponds, river basins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Place:Cryosphere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Chunlin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Chunlin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Chunlin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Chunlin. </w:t>
      </w:r>
      <w:r>
        <w:rPr>
          <w:rFonts w:ascii="Times New Roman" w:hAnsi="Times New Roman"/>
          <w:sz w:val="24"/>
          <w:szCs w:val="24"/>
          <w:lang w:eastAsia="zh-CN"/>
        </w:rPr>
        <w:tab/>
      </w:r>
      <w:r>
        <w:rPr>
          <w:rFonts w:ascii="Times New Roman" w:hAnsi="Times New Roman"/>
          <w:sz w:val="24"/>
          <w:szCs w:val="24"/>
          <w:lang w:eastAsia="zh-CN"/>
        </w:rPr>
        <w:t xml:space="preserve"> Cryosphere Inland Water Greenhouse Gases Database(1985-2023). National Cryosphere Desert Data Center(http://www.ncdc.ac.cn), 2023. https://cstr.cn/CSTR:11738.11.NCDC.ZENODO.DB4014.2023.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