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黑河流域地表过程综合观测网（大满超级站大孔径闪烁仪-2024）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2024年1月1日至2024年12月31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Intensity-20mv）；（3）剔除降水时刻的数据。在迭代计算过程中，对于BLS900，选取Thiermann and Grassl（1992）的稳定度普适函数；对于RR-RSS460，选取Andreas（1988）的稳定度普适函数。 关于发布数据的几点说明：（1）中游LAS数据以BLS900为主，缺失时刻由RR-RSS460观测补充，两者都缺失则以-9999标记。（2）数据表头：Date/Time ：日期/时间（格式：yyyy/m/d h:mm），Cn2：空气折射指数结构参数（单位：m-2/3），H：感热通量（单位：W/m2）。数据时间的含义，如0:30代表0:00-0:30的平均；数据以*.xlsx格式存储。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黑河流域地表过程综合观测网（大满超级站大孔径闪烁仪-2024）.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