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渭河流域工业生产统计数据（2012-2019年）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industrial production in Weihe River Basin (2012-2019)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  数据集命名：渭河流域工业生产统计数据（2012-2019年）.xlsx。注：因2014年数据无法下载，未收集入内。   基本属性信息：省：渭河流域流经省级地区。 市：渭河流域流经市级地区。地区：渭河流域流经县(区)级地区。其他各个指标。   数据集主要收录了2012-2019年渭河流域流经各县域的工业生产统计数据。主要包括以下几个Excel表格：   1.渭河流域各区县规模以上工业企业个数.xlsx。内含指标：规模以上工业企业。   2.渭河流域各区县建筑业企业情况.xlsx（陕西无）。内含指标：单位数、从业人员、建筑业总值。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  《2013-2020年陕西省统计年鉴》   《2013-2020年甘肃省统计年鉴》   《2013-2020年宁夏回族自治区统计年鉴》   《2013-2020年中国县域统计年鉴》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规模以上工业企业, 建筑业, 渭河流域各区县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陕西省,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渭河流域工业生产统计数据（2012-2019年）. 国家冰川冻土沙漠科学数据中心(http://www.ncdc.ac.cn), 2021. https://cstr.cn/CSTR:11738.11.ncdc.WRiver.2021.28.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