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渭河流域工业生产统计数据（2012-2019年）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industrial production in Weihe River Basin (2012-2019)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10.12072/ncdc.WRiver.db0031.2021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  数据集命名：渭河流域工业生产统计数据（2012-2019年）.xlsx。注：因2014年数据无法下载，未收集入内。   基本属性信息：省：渭河流域流经省级地区。 市：渭河流域流经市级地区。地区：渭河流域流经县(区)级地区。其他各个指标。   数据集主要收录了2012-2019年渭河流域流经各县域的工业生产统计数据。主要包括以下几个Excel表格：   1.渭河流域各区县规模以上工业企业个数.xlsx。内含指标：规模以上工业企业。   2.渭河流域各区县建筑业企业情况.xlsx（陕西无）。内含指标：单位数、从业人员、建筑业总值。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  《2013-2020年陕西省统计年鉴》   《2013-2020年甘肃省统计年鉴》   《2013-2020年宁夏回族自治区统计年鉴》   《2013-2020年中国县域统计年鉴》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规模以上工业企业, 建筑业, 渭河流域各区县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渭河流域,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渭河流域工业生产统计数据（2012-2019年）. 国家冰川冻土沙漠科学数据中心(http://www.ncdc.ac.cn), 2021. https://cstr.cn/CSTR:11738.11.ncdc.WRiver.2021.28.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