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2015-2019年黄河流域经济开发区总体规划、近期建设规划数据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Overall Planning and Recent Construction Planning Data of Economic Development Zones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10.12072/ncdc.YRiver.db0026.2021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11738.11.NCDC.YRIVER.DB2874.2023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  本数据集收录了2015-2019年间部分年段省市县级黄河流域经济开发区总体规划、近期建设规划数据。   为了规范流域的开发利用活动、控制开发强度，为实施全流域综合管理提供依据，《规划》重点确定了防洪（防凌）标准、设防流量、防凌库容、平滩流量、地表水用水量、地表水耗水量、地下水开采量、万元工业增加值用水量、大中型灌区灌溉水利用系数、水质目标、COD入河量、氨氮入河量、河道内生态环境用水量和断面下泄水量等14项控制指标，作为经济社会发展活动不可逾越的“红线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  本数据集以word为主，部分附有源数据网站信息，将各省市县的黄河流域经济开发区总体规划、近期建设规划数据按文件夹进行展示。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  将政策规划进行去杂处理，将提纯后的文本数据、图片数据等按照省市县进行分类，存储到对应的文件夹中，将文件夹作为地址存储到Excel表中易于查看。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黄河流域，经济开发区总体规划，建设规划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黄河流域，河南，陕西，山西，山东，青海，甘肃，宁夏，内蒙古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2015-2019年黄河流域经济开发区总体规划、近期建设规划数据. 国家冰川冻土沙漠科学数据中心(http://www.ncdc.ac.cn), 2021. https://cstr.cn/CSTR:11738.11.NCDC.YRIVER.DB2874.2023.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