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滁河流域典型蓄滞洪区地理高程数据及土地利用类型数据集（1985-2020年）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 Elevation Data and Land Use Type Data Set for Typical Flood Storage Areas in the Chu River Basin (1985-2020)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10.12072/ncdc.nhri.db6799.2025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11738.11.NCDC.NHRI.DB6799.2025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卫星遥感数据、WorldView-4卫星数据以及GLC_FCS30-1985_2020地表监测数据，对研究区荒草二三圩区、蒿子圩、汪波东荡等典型蓄滞洪区下垫面地理实体信息进行解译和分析,获得了研究区域的基础地理高程信息和下垫面土地类型信息。   WorldView-4卫星数据空间分辨率为0.15m，土地利用类型数据GLC_FCS30-1985_2020地表监测数据分辨率为30m。经过分析可以为蓄滞洪区的合理规划、有效管理以及可持续发展提供科学依据和决策支持，同时为蓄滞洪区洪水精细化模拟模型构建提供了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  地理高程信息来自与Landsat和WorldView-4。其中Landsat是美国陆地探测卫星系统，成功地向地面输送了大量的、高质量的地球表面信息的观测数据。   目前最新的Landsat-8卫星携带两个传感器，分别是OLI陆地成像仪和TIRS热红外传感器，一共有11个波段，波段1-7，9-11的空间分辨率为30米，波段8为15米分辨率的全色波段，卫星每16天可以实现一次全球覆盖。WorldView-4卫星是DigitalGlobe商用高分辨率遥感卫星，于2016年11月搭乘美国擎天神5号运载火箭发射升空 重采样0.13m。其有着超高的分辨率，全色分辨率达到31厘米；同时其多光谱分辨率能够达到1.24米，并且具有高定位精度以及在多种影像采集模式下的超大储存容量。   土地利用数据为中国科学院空天信息创新研究院利用1984-2020年所有Landsat卫星数据（Landsat TM，ETM+和OLI）生产的1985年-2020年全球30米精细地表覆盖动态监测产品。该产品沿用了2020年基准数据的分类体系，共包含29个地表覆盖类型，更新周期为5年。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GLC_FCS30-1985_2020地表监测数据，运用ArcGIS栅格重分类工具，将主要覆盖类型分为多个类别，分别为建筑、林地、水体、水田、耕地、草地等；针对Landsat-8卫星数据，对影像进行重采样处理以改正输出影像的像元偏差，以此来建立新的图像矩阵，通过双线性内插法对图像重新采样，利用ArcGIS栅格处理中的波段合成功能，选取2、3、4波段进行真彩色波段合成，再将多光谱图像8波段全色图像进行融合处理，使其具有较高分辨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研究整理发现荒草二三圩、蒿子圩、十八联圩蓄滞洪区内，耕地为第一大类土地利用类型，其次是水体或水田，最少是建筑。2020年所有蓄滞洪区中耕地面积占比最大的是十八联圩，约为93.9%，最小的是蒿子圩，约为67.6%；水体和水田、建筑面积占比最大的均是蒿子圩，约为27.6%、4.4%，最小的均是十八联圩，仅占4.5%、1.1%；荒草二三圩中林地面积占比大于蒿子圩和十八联圩。与实际情况贴合。同时研究所获取的地理高程信息也与实际相符，因此，本数据集可作为典型蓄滞洪区评价分析的可靠基础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长江下游典型蓄滞洪区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*.adf,*.txt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30m,15m,1m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蓄滞洪区, 地理高程信息, 土地覆盖,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1985 1990 1995 2000 2005 2010 2015 2020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滁河,  荒草二圩,  荒草三圩,  蒿子圩,  十八联圩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陈兆懿. 滁河流域典型蓄滞洪区地理高程数据及土地利用类型数据集（1985-2020年）. 国家冰川冻土沙漠科学数据中心(http://www.ncdc.ac.cn), 2025. https://cstr.cn/CSTR:11738.11.NCDC.NHRI.DB6799.2025.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