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汉江流域基于分类-回归-校正的0.1°多源融合逐日降水数据集（2010-2016年）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Daily Precipitation Dataset for the Hanjiang River Basin from 2010 to 2016 Based on Classification, Regression, and Correction with Multi-source Fusion</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  本数据集基于MSWEP V2.1和地面站点观测降水数据，通过考虑分类-回归-校正的三阶段多源降水信息的融合框架，并具体采用地理加权逻辑回归（GWLR）与地理加权回归（GWR）模型开展汉江流域日降水融合，得到了2010-2016年时间分辨率为日，空间分辨率为0.1°×0.1°，汉江流域的降水数据，量化了较遥感反演降水数据及降水空间插值数据的统计精度增益，精细刻画了复杂流域地形变化对降水空间格局的影响，构建了长系列高精度数据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  数据为汉江流域2010-2016年时间分辨率为日，空间分辨率为0.1°×0.1°的降水数据。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  地理加权逻辑回归（GWLR）与地理加权回归（GWR）</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  数据比较准确，达到精度要求。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汉江流域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40.3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*.mat</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0.1°</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2010 2011 2012 2013 2014 2015 2016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汉江流域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34.33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114.33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106.25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30.17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李伶杰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李伶杰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李伶杰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2022YFC3202800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大型水库群汛期运行水位动态控制与洪水资源化关键技术研究与示范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李伶杰. 汉江流域基于分类-回归-校正的0.1°多源融合逐日降水数据集（2010-2016年）.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