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甘肃省农作物种质资源数据集（1959-2023年）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crop germplasm resources in Gansu Province（1959-2023）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10.12072/ncdc.gsagr.db6632.2024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11738.11.NCDC.GSAGR.DB6632.2024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1959-2023年收集保存的103种农作物种质资源数据。包含3部分内容：（1）资源的基本信息，包括种质库编号、采集号、种质名称、科名、属名、学名、来源地种质类型等数据。（2）形态特征和生物学特性，包括播种期、出苗期、开花期、成熟期、株型、株高、粒形、粒色、千粒重、等数据。（3）其他特征特性，包括品质特性、抗逆性、抗病虫性等。   本数据集仅共享元数据，数据实体不对外开放。如需实体请联系数据管理者（王兴荣）。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  数据来源于先后3次开展的全国农作物种质资源普查与收集行动以及历年来省内外科研单位及大中专院校提供。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  整理、汇总、繁殖、鉴定。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  不同作物的性状描述字段不同，具体描述规范和数据标准以《国家农作物种质资源描述规范和数据标准》为准。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1959/01/01-2023/12/31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3280.0m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农作物, 种质资源, 种子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kangjf@lzb.ac.cn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李玥,  张彦军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王兴荣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GAAS2024-TJJS-023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甘肃省农业生物种质资源科学数据中心建设项目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李玥,张彦军. 甘肃省农作物种质资源数据集（1959-2023年）. 国家冰川冻土沙漠科学数据中心(http://www.ncdc.ac.cn), 2024. https://cstr.cn/CSTR:11738.11.NCDC.GSAGR.DB6632.2024.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