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煤-水协调开发综合效应评价指标体系调查表（2019-2020年）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on the Comprehensive Effect Evaluation Index System of Coal Water Coordinated Development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11738.11.ncdc.UTCMW.db2137.2022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研究区煤矿的调查分析，结合内蒙古自治区鄂尔多斯市纳林河二号井田特定的地质环境特征及开采方式，从矿区的实际出发，确立了矿区的煤-水协调开发综合效应评价指标体系。通过向多位相关领域的专家学者、矿区管理及工作人员分发问卷调査的方式，得出指标体系内同一层次指标比较两两之间的重要度，从而建立判断矩阵，基于层次分析法计算各影响指标的权重分布，最终实现对煤矿煤-水协调开采综合效益的客观评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  调研收集。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  基于层次分析法，最终实现对煤矿煤-水协调开采综合效益的客观评价。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内蒙古自治区鄂尔多斯市纳林河二号井田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影响指标, 综合效应评价指标, 相对重要性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内蒙古自治区鄂尔多斯市纳林河二号井田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刘晓民,  王震宇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刘晓民,王震宇. 煤-水协调开发综合效应评价指标体系调查表（2019-2020年）. 国家冰川冻土沙漠科学数据中心(http://www.ncdc.ac.cn), 2022. https://cstr.cn/CSTR:11738.11.ncdc.UTCMW.db2137.2022.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