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渭河流域MODIS MOD13A2 增强型植被指数（EVI）数据集（2000-2020年）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Weihe River Basin MODIS MOD13A2 Enhanced Vegetation Index (EVI) Dataset (2000-2020)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10.12072/ncdc.WRiver.db0023.2021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11738.11.ncdc.WRiver.2021.21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增强型植被指数(EVI)是在归一化植被指数(NDVI)改善出来的，根据大气校正所包含的影像因子大气分子、气溶胶、薄云、水汽和臭氧等因素进行全面的大气校正，EVI大气校正分三步，第一步是去云处理。第二步是大气校正处理，校正内容除了NDVI已有的瑞利散射和臭氧外，还包括大气分子、气溶胶、水汽等。第三步是进一步处理残留气溶胶影响，方法是借助蓝光和红光通过气溶胶的差异。由于输入的NIR、Red、Blue都经过比较严格的大气校正，所以在设计植被指数算式时，无须为了消除乘法性噪音而采用基于NIR/Red比值的植被指数，因此也就解决了由此引起的植被指数容易饱和以及与实际植被覆盖缺乏线性关系的问题。   EVI对冠层结构变化包括叶面积指数（LAI），冠层类型、植被相和冠层结构 更加敏感。   基于MODIS MOD13A2.005 增强型植被指数EVI数据集，将覆盖渭河流域的分幅影像，利用MRT工具及Python语言代码，进行批量拼接、投影转换、裁剪等处理，生成2000-2020年渭河流域MODIS MOD13A2 EVI数据。本数据集空间分辨率为1 km，时间分辨率为16天。</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  本数据集的数据源为MOD13A2.v005 版本数据，数据来源于NASA官网(https://ladsweb.modaps.eosdis.nasa.gov)。</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  （1）试运行MRT工具，生成MOD13A2 EVI数据拼接和投影转换的prm文件，空间分辨率为1000 m。   （2）利用MATLAB 语言程序生成调用MRT工具的批处理文件，并运行。   （3）利用渭河流域矢量边界，采用Python批量裁剪等步骤，最后采用GeoTIFF格式输出保存。</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  本数据集与源数据集MODIS MOD13A2.005质量一致。数据有效范围-2000 至 10000，缩放因子为0.0001，填充值为-3000。</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渭河流域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721.3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16天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增强型植被指数, 植被覆盖, 冠层结构, 叶面积指数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渭河流域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103.97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张耀南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张耀南. 渭河流域MODIS MOD13A2 增强型植被指数（EVI）数据集（2000-2020年）. 国家冰川冻土沙漠科学数据中心(http://www.ncdc.ac.cn), 2021. https://cstr.cn/CSTR:11738.11.ncdc.WRiver.2021.21.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