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gas permeability change under different confining pressures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11738.11.NCDC.NIEER.DB2808.2023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lining structure is subject to the three-dimensional stress transmitted by the overlying soil and rock stratum, and is usually subject to external sulfate erosion; The permeability and mechanical properties of cement materials are of great significance to the stability of underground works. The experimental results can provide reference materials for establishing the long-term stability of concrete structures in high sulfate environment. The data set adopts the geotechnical test method to analyze the changes of permeability, ultrasonic P-wave velocity, uniaxial compression and splitting tensile strength of sulfate eroded cement mortar specimens. (1) With the increase of the confining pressure, the gas permeability decreases gradually, and the gas permeability and decreasing amplitude of the corroded sample and the non corroded sample are different. (2) The gas permeability of the attacked specimen is large, and it is more sensitive to the change of confining pressure in the range of 5~20MPa; Under the high confining pressure of 20~30MPa, the decreasing rate of gas permeability decreases. (3) The ultrasonic P-wave velocity of the attacked sample is obviously lower than that of the non attacked sample, while its open porosity is higher than its corresponding sample. (4) The splitting tensile strength and uniaxial compressive strength decreased after sulfate attack, and the former deteriorated more seriously.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data comes from the test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variation of permeability, ultrasonic P-wave velocity, uniaxial compression and splitting tensile strength of sulfate eroded cement mortar specimens were analyzed by geotechnical test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&amp;lt;p&amp;gt;&amp;amp;emsp;&amp;amp;emsp;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time:2019/12/01-2019/12/31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Theme:Degradation, leakage, strength and material testing of geotechnical materials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Data set of gas permeability change under different confining pressures. National Cryosphere Desert Data Center(http://www.ncdc.ac.cn), 2023. https://cstr.cn/CSTR:11738.11.NCDC.NIEER.DB2808.2023.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