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祁连山综合观测网：黑河流域地表过程综合观测网（大满超级站物候相机观测数据集-2020）</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(phenology camera observation data set of Daman Superstation-2020)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2020年1月1日至2020年12月31日黑河流域地表过程综合观测网中游大满超级站的物候相机观测数据，该仪器由北京师范大学自主研发并进行处理。物候相机集成数据获取与数据传输功能。相机采用垂直向下的方式采集数据，拍摄数据分辨率为1280*720，可指定拍摄时间频率。对于物候期的计算，首先，根据感兴趣区计算物候指标，如相对绿度指数(GCC, Green Chromatic Coordinate公式为GCC=G/(R+G+B), R、G、B为图像红、绿、蓝三通道像元值)。然后对数据进行质量控制、无效值填充和滤波平滑。最后根据生长曲线拟合确定关键物候期参数，如生长季起始日、顶峰、生长季结束日等。本数据集为该站点2020年相对绿度指数（GCC）。黑河流域地表过程综合观测网或站点信息请参考Liu et al. (2018)。</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黑河中游,大满桥超级站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17.2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植被, 物候</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黑河中游,  大满桥超级站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屈永华,  车涛,  徐自为,  谭俊磊,  任志国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屈永华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刘绍民,屈永华,车涛,徐自为,谭俊磊,任志国. 祁连山综合观测网：黑河流域地表过程综合观测网（大满超级站物候相机观测数据集-2020）.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