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Research data set on mineral processing wastewater treatment of tungsten molybdenum ore containing salt hydroxamic acid (October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the simulated flotation wastewater as the research object, the ozone oxidation method is used to treat it, and the value of CODcr is reduced to meet the class I discharge standard of integrated wastewater discharge standard (GB 8978-1996) and the quality of industrial water for urban wastewater recycling (GB/t 19923-2005). The experimental factors to be explored include reaction time, initial pH, ozone dosage, etc. The data set contains 245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O3 oxidation experiment operates in an intermittent manner. Firstly, wash the reactor with deionized water, inject the prepared simulated beneficiation wastewater into the reactor at one time through the peristaltic pump, turn on the ozonator, and after the ozonator is preheated and the generation of O3 is stable, start to pass the ozone gas into the air distribution plate at the bottom of the reactor, Control the gas flow meter to keep the flow rate of O3 gas at 100 ml / min. adjust the power knob of the ozone generator to control the dosage of O3 at 1 ~ 10 mg / L. take the reaction solution after different reaction times for water quality detection, and obtain the corresponding experimental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time:2018/10/01-2018/10/31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Theme:Flotation wastewater, ozone oxidation, CODcr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Research data set on mineral processing wastewater treatment of tungsten molybdenum ore containing salt hydroxamic acid (October 2018). National Cryosphere Desert Data Center(http://www.ncdc.ac.cn), 2022. https://cstr.cn/CSTR:11738.11.ncdc.UTCMW.db2148.2022.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