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甘肃省水文特征数据集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Characteristics Dataset of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11738.11.NCDC.GSEER.DB3966.2023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  本数据集主要收集了甘肃省地表水类型数据；甘肃省主要流域数据；甘肃省地下水灌溉面积百分比数据；甘肃省主要流域的水资源压力水平数据；甘肃省主要水文流域物理缺水分布数据。   数据存储格式为：tif、Shp和Excel。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   (1)《甘肃省河流泥沙公报》；   (2)http://hydro.iis.u-tokyo.ac.jp/~yamadai/G3WBM/;   (3)https://www.hydrosheds.org/products；   (4)https://data.apps.fao.org/aquamaps/?lang=en。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  (1)栅格和矢量数据主要通过分幅拼接，研究范围矢量边界裁剪得到。   (2)表格数据通过人工收集整理并摘录。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tif、shp、Excel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地表水类型, 主要流域, 地下水灌溉面积百分比, 主要流域的水资源压力水平, 主要水文流域物理缺水分布, 年径流与输沙量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甘肃省水文特征数据集. 国家冰川冻土沙漠科学数据中心(http://www.ncdc.ac.cn), 2023. https://cstr.cn/CSTR:11738.11.NCDC.GSEER.DB3966.2023.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