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北极地区50km×50km网格景观多样性指数分布图（2024年）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50km×50km Grid Landscape Diversity Index in the Arctic Region,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10.12072/ncdc.arctic-change.db7125.2026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11738.11.NCDC.ARCTIC-CHANGE.DB7125.2026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  景观多样性是景观生态学与地理信息科学交叉领域的重要量化指标，被生态保护、资源管理、和规划决策等领域广为需求。 本数据集基于ARC-2024环北极土地覆盖产品（10米空间分辨率）提取50公里网格尺度景观多样性指数。该数据集运用Shannon多样性指数（SHDI）衡量各网格单元内土地覆盖类型的组成复杂度与异质性程度，指数值越高表明该网格内土地覆盖类型越丰富、分布越均匀。多样性指数计算基于9类土地覆盖类型：低灌木(LS)、直立矮灌木(DS)、草地(GR)、小型低矮草本植物(SF)、湿地(WL)、水域(WA)、苔藓地衣(ML)、裸地(BG)及冰雪(IS)。鉴于建筑用地(BA)在泛北极地区分布面积极为有限，本数据集未纳入该类别。该数据产品可有效支撑北极生态系统空间异质性评估、生物多样性热点识别、生态过渡带划定及气候变化对景观格局影响研究，为极地景观生态学研究提供量化分析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ARC-2024环北极土地覆盖产品（10米空间分辨率，总体精度87.78%，Kappa系数0.858）为数据源，通过景观格局指数算法完成50km×50km尺度的Shannon多样性指数计算。网格体系基于Albers等面积圆锥投影构建，确保各网格单元面积一致，多样性指数计算结果具有空间可比性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  （1）网格体系构建：基于Albers等面积圆锥投影构建覆盖泛北极区域的50km×50km规则网格体系，以确保景观格局分析的空间一致性与可比性。   （2）土地覆盖类型提取：将ARC-2024原始10米分辨率土地覆盖栅格数据与网格矢量进行空间叠加运算，逐网格统计9类土地覆盖类型的像元数量及面积占比。   （3）Shannon多样性指数计算：采用景观生态学标准公式SHDI = -∑(Pi × ln(Pi))计算各网格的Shannon多样性指数，其中Pi为第i类土地覆盖类型在网格内的面积比例。   （4）属性表构建：生成包含网格唯一标识符、中心点地理坐标、Shannon多样性指数值及类型丰富度等完整属性信息的矢量数据集。   （5）质量控制：剔除陆地面积不足网格总面积10%的边缘网格，并排除仅含单一土地覆盖类型的网格（多样性指数为0），以确保统计结果的生态学意义与科学性。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质量取决于ARC-2024源产品的分类精度及多样性指数算法的计算精度。源产品总体精度达87.78%，Kappa系数为0.858，在不同生物气候亚区（A–E区）均保持稳定的分类性能。多样性指数计算采用景观生态学领域广泛认可的Shannon多样性指数公式，算法实现经过严格验证。数据集属性完整性经逐字段校验，确认无空值及异常值。50km×50km网格尺度适用于区域尺度景观格局宏观分析，具有明确的生态学依据。边缘网格及单一类型网格经严格质量筛选，有效保障了多样性指数的生态学可解释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2024/05/01-2024/10/31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 km × 50 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景观多样性, Shannon指数, 空间异质性, 土地覆盖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帅艳民,  曲歌,  霍思慧,  马现伟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曲歌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帅艳民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帅艳民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北极陆地环境变化及其效应研究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帅艳民,曲歌,霍思慧,马现伟. 北极地区50km×50km网格景观多样性指数分布图（2024年）. 国家冰川冻土沙漠科学数据中心(http://www.ncdc.ac.cn), 2026. https://cstr.cn/CSTR:11738.11.NCDC.ARCTIC-CHANGE.DB7125.2026.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